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4B8" w:rsidRPr="00971A87" w:rsidRDefault="00411B5A" w:rsidP="005B54B8">
      <w:pPr>
        <w:spacing w:before="362"/>
        <w:ind w:left="1985"/>
        <w:rPr>
          <w:b/>
          <w:color w:val="000000" w:themeColor="text1"/>
          <w:sz w:val="40"/>
        </w:rPr>
      </w:pPr>
      <w:r w:rsidRPr="00411B5A">
        <w:rPr>
          <w:b/>
          <w:color w:val="000000" w:themeColor="text1"/>
          <w:w w:val="95"/>
          <w:sz w:val="40"/>
        </w:rPr>
        <w:t>Puljeinvestering</w:t>
      </w:r>
    </w:p>
    <w:p w:rsidR="004B28D5" w:rsidRPr="00971A87" w:rsidRDefault="00E223CF" w:rsidP="00E223CF">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E223CF">
        <w:rPr>
          <w:color w:val="808080" w:themeColor="background1" w:themeShade="80"/>
        </w:rPr>
        <w:t xml:space="preserve">Når du investerer via puljer, investerer du sammen med pengeinstituttets andre kunder i forskellige typer af værdipapirer eller kontantindeståender.  </w:t>
      </w:r>
      <w:r>
        <w:rPr>
          <w:color w:val="808080" w:themeColor="background1" w:themeShade="80"/>
        </w:rPr>
        <w:t xml:space="preserve"> </w:t>
      </w:r>
    </w:p>
    <w:p w:rsidR="00E223CF" w:rsidRPr="00E223CF" w:rsidRDefault="00E223CF" w:rsidP="00E223CF">
      <w:pPr>
        <w:pStyle w:val="Overskrift1"/>
        <w:ind w:left="0" w:right="46"/>
        <w:rPr>
          <w:rFonts w:asciiTheme="minorHAnsi" w:hAnsiTheme="minorHAnsi"/>
          <w:color w:val="000000" w:themeColor="text1"/>
          <w:lang w:val="da-DK"/>
        </w:rPr>
      </w:pPr>
      <w:r w:rsidRPr="00E223CF">
        <w:rPr>
          <w:rFonts w:asciiTheme="minorHAnsi" w:hAnsiTheme="minorHAnsi"/>
          <w:color w:val="000000" w:themeColor="text1"/>
          <w:lang w:val="da-DK"/>
        </w:rPr>
        <w:t>Hvad er en puljeinvestering?</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En puljeinvestering er en konstruktion, hvor kunden kan tilmelde et kontantindestående på en konto til deltagelse i en eller flere puljer. Kundens indestående udgør sammen med andre indskyderes tilmeldte midler en samlet pulje, for hvilken der kan investeres efter en på forhånd fastlagt strategi.</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Strategien for en pulje baseres typisk på en fordeling mellem forskellige aktivklasser (eksempelvis aktier og obligationer) og/eller geografiske fordelinger (eksempelvis Danmark, Norden el.), men kan også have andre opbygninger.</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 xml:space="preserve">Alle puljeinvesteringer er overordnet reguleret af bekendtgørelse om puljeinvestering. For alle puljer gælder desuden, at der er udarbejdet investeringsrammer, som kan findes på pengeinstituttets hjemmeside. </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p>
    <w:p w:rsidR="00E223CF" w:rsidRPr="00E223CF" w:rsidRDefault="00E223CF" w:rsidP="00E223CF">
      <w:pPr>
        <w:pStyle w:val="Overskrift1"/>
        <w:ind w:left="0" w:right="46"/>
        <w:rPr>
          <w:rFonts w:asciiTheme="minorHAnsi" w:hAnsiTheme="minorHAnsi"/>
          <w:color w:val="000000" w:themeColor="text1"/>
          <w:lang w:val="da-DK"/>
        </w:rPr>
      </w:pPr>
      <w:r w:rsidRPr="00E223CF">
        <w:rPr>
          <w:rFonts w:asciiTheme="minorHAnsi" w:hAnsiTheme="minorHAnsi"/>
          <w:color w:val="000000" w:themeColor="text1"/>
          <w:lang w:val="da-DK"/>
        </w:rPr>
        <w:t xml:space="preserve">Hvordan foretages indskud? </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 xml:space="preserve">Indskud til puljen foretages via betaling til en individuel puljekonto. </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Løbende indbetalinger til kontoen vil derfor kontinuerligt komme med i de investeringer, puljen foretager.</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Indskuddet vil blive stående på kontoen, men vil blive spærret så længe, det er tilmeldt puljen og derfor er der også særlig</w:t>
      </w:r>
      <w:r>
        <w:rPr>
          <w:rFonts w:asciiTheme="minorHAnsi" w:hAnsiTheme="minorHAnsi"/>
          <w:color w:val="808080" w:themeColor="background1" w:themeShade="80"/>
          <w:spacing w:val="-4"/>
          <w:lang w:val="da-DK"/>
        </w:rPr>
        <w:t>e</w:t>
      </w:r>
      <w:r w:rsidRPr="00E223CF">
        <w:rPr>
          <w:rFonts w:asciiTheme="minorHAnsi" w:hAnsiTheme="minorHAnsi"/>
          <w:color w:val="808080" w:themeColor="background1" w:themeShade="80"/>
          <w:spacing w:val="-4"/>
          <w:lang w:val="da-DK"/>
        </w:rPr>
        <w:t xml:space="preserve"> vilkår omkring udtræden af puljer.</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p>
    <w:p w:rsidR="00E223CF" w:rsidRPr="00E223CF" w:rsidRDefault="00E223CF" w:rsidP="00E223CF">
      <w:pPr>
        <w:pStyle w:val="Overskrift1"/>
        <w:ind w:left="0" w:right="46"/>
        <w:rPr>
          <w:rFonts w:asciiTheme="minorHAnsi" w:hAnsiTheme="minorHAnsi"/>
          <w:color w:val="000000" w:themeColor="text1"/>
          <w:lang w:val="da-DK"/>
        </w:rPr>
      </w:pPr>
      <w:r w:rsidRPr="00E223CF">
        <w:rPr>
          <w:rFonts w:asciiTheme="minorHAnsi" w:hAnsiTheme="minorHAnsi"/>
          <w:color w:val="000000" w:themeColor="text1"/>
          <w:lang w:val="da-DK"/>
        </w:rPr>
        <w:t>Afkast</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 xml:space="preserve">Afkastet i en pulje genereres af flere ting, eksempelvis: Udbytter, rentebetalinger og kursgevinster/kurstab. </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Alt dette beregnes løbende (typisk månedsvis) og fordeles ligeligt til alle puljedeltagere ud fra deres andel af den samlede pulje, fratrukket deres respektive andel af puljens omkostninger.</w:t>
      </w:r>
    </w:p>
    <w:p w:rsidR="00303EF7"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Puljedeltagere kan løbende følge det tilgodehavende, de har fra afkastet fra</w:t>
      </w:r>
      <w:r w:rsidR="00303EF7">
        <w:rPr>
          <w:rFonts w:asciiTheme="minorHAnsi" w:hAnsiTheme="minorHAnsi"/>
          <w:color w:val="808080" w:themeColor="background1" w:themeShade="80"/>
          <w:spacing w:val="-4"/>
          <w:lang w:val="da-DK"/>
        </w:rPr>
        <w:br w:type="column"/>
      </w:r>
      <w:r w:rsidRPr="00E223CF">
        <w:rPr>
          <w:rFonts w:asciiTheme="minorHAnsi" w:hAnsiTheme="minorHAnsi"/>
          <w:color w:val="808080" w:themeColor="background1" w:themeShade="80"/>
          <w:spacing w:val="-4"/>
          <w:lang w:val="da-DK"/>
        </w:rPr>
        <w:t>puljen enten via netbanken eller ved henvendelse til os.</w:t>
      </w:r>
    </w:p>
    <w:p w:rsid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Bogføringen af puljeafkastet foretages årligt i januar efter afslutning af puljens samlede årsregnskab.</w:t>
      </w:r>
    </w:p>
    <w:p w:rsid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p>
    <w:p w:rsidR="00E223CF" w:rsidRPr="00E223CF" w:rsidRDefault="00E223CF" w:rsidP="00E223CF">
      <w:pPr>
        <w:pStyle w:val="Overskrift1"/>
        <w:ind w:left="0" w:right="46"/>
        <w:rPr>
          <w:rFonts w:asciiTheme="minorHAnsi" w:hAnsiTheme="minorHAnsi"/>
          <w:color w:val="000000" w:themeColor="text1"/>
          <w:lang w:val="da-DK"/>
        </w:rPr>
      </w:pPr>
      <w:r w:rsidRPr="00E223CF">
        <w:rPr>
          <w:rFonts w:asciiTheme="minorHAnsi" w:hAnsiTheme="minorHAnsi"/>
          <w:color w:val="000000" w:themeColor="text1"/>
          <w:lang w:val="da-DK"/>
        </w:rPr>
        <w:t xml:space="preserve">Hvilke midler kan anvendes? </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Det er kun særlige indlån der kan investeres via puljer,</w:t>
      </w:r>
      <w:r>
        <w:rPr>
          <w:rFonts w:asciiTheme="minorHAnsi" w:hAnsiTheme="minorHAnsi"/>
          <w:color w:val="808080" w:themeColor="background1" w:themeShade="80"/>
          <w:spacing w:val="-4"/>
          <w:lang w:val="da-DK"/>
        </w:rPr>
        <w:t xml:space="preserve"> </w:t>
      </w:r>
      <w:r w:rsidRPr="00E223CF">
        <w:rPr>
          <w:rFonts w:asciiTheme="minorHAnsi" w:hAnsiTheme="minorHAnsi"/>
          <w:color w:val="808080" w:themeColor="background1" w:themeShade="80"/>
          <w:spacing w:val="-4"/>
          <w:lang w:val="da-DK"/>
        </w:rPr>
        <w:t>eksempelvis pensioner og børneopsparinger.</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p>
    <w:p w:rsidR="00E223CF" w:rsidRPr="00E223CF" w:rsidRDefault="00E223CF" w:rsidP="00E223CF">
      <w:pPr>
        <w:pStyle w:val="Overskrift1"/>
        <w:ind w:left="0" w:right="46"/>
        <w:rPr>
          <w:rFonts w:asciiTheme="minorHAnsi" w:hAnsiTheme="minorHAnsi"/>
          <w:color w:val="000000" w:themeColor="text1"/>
          <w:lang w:val="da-DK"/>
        </w:rPr>
      </w:pPr>
      <w:r w:rsidRPr="00E223CF">
        <w:rPr>
          <w:rFonts w:asciiTheme="minorHAnsi" w:hAnsiTheme="minorHAnsi"/>
          <w:color w:val="000000" w:themeColor="text1"/>
          <w:lang w:val="da-DK"/>
        </w:rPr>
        <w:t>Hvad er risikoen?</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Puljens risiko vil afhænge af sammensætningen af puljernes investering, og vil således afspejle de underliggende investeringer.</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Risiko ved at investere i puljer er bl.a.:</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sidDel="003B3B84">
        <w:rPr>
          <w:rFonts w:asciiTheme="minorHAnsi" w:hAnsiTheme="minorHAnsi"/>
          <w:color w:val="808080" w:themeColor="background1" w:themeShade="80"/>
          <w:spacing w:val="-4"/>
          <w:lang w:val="da-DK"/>
        </w:rPr>
        <w:t xml:space="preserve"> </w:t>
      </w:r>
    </w:p>
    <w:p w:rsid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i/>
          <w:spacing w:val="-4"/>
          <w:lang w:val="da-DK"/>
        </w:rPr>
        <w:t>Selskabsrisiko</w:t>
      </w:r>
      <w:r w:rsidRPr="00E223CF">
        <w:rPr>
          <w:rFonts w:asciiTheme="minorHAnsi" w:hAnsiTheme="minorHAnsi"/>
          <w:color w:val="808080" w:themeColor="background1" w:themeShade="80"/>
          <w:spacing w:val="-4"/>
          <w:lang w:val="da-DK"/>
        </w:rPr>
        <w:t>, som er den risiko, der er forbundet med det enkelte selskab, som puljen har investeret i, og kan f.eks. være indtjeningsvanskeligheder, afhængighed af bestemte kunder nøglepersoner eller andet.</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p>
    <w:p w:rsid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i/>
          <w:spacing w:val="-4"/>
          <w:lang w:val="da-DK"/>
        </w:rPr>
        <w:t>Markedsrisiko</w:t>
      </w:r>
      <w:r w:rsidRPr="00E223CF">
        <w:rPr>
          <w:rFonts w:asciiTheme="minorHAnsi" w:hAnsiTheme="minorHAnsi"/>
          <w:color w:val="808080" w:themeColor="background1" w:themeShade="80"/>
          <w:spacing w:val="-4"/>
          <w:lang w:val="da-DK"/>
        </w:rPr>
        <w:t>, som er en risiko fælles for alle selskaber eller en gruppe af selskaber, som beskæftiger sig med samme område. Som udgangspunkt er der tale om udefrakommende begivenheder eller ændringer, der påvirker alle selskaber, selskaber inden for enkelte brancher eller i et enkelt land. Det kan f.eks. være konjunkturbevægelser, renteudvikling eller politiske faktorer, som ændrer markedssituationen i en bestemt branche.</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p>
    <w:p w:rsid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i/>
          <w:spacing w:val="-4"/>
          <w:lang w:val="da-DK"/>
        </w:rPr>
        <w:t>Renterisiko</w:t>
      </w:r>
      <w:r w:rsidRPr="00E223CF">
        <w:rPr>
          <w:rFonts w:asciiTheme="minorHAnsi" w:hAnsiTheme="minorHAnsi"/>
          <w:color w:val="808080" w:themeColor="background1" w:themeShade="80"/>
          <w:spacing w:val="-4"/>
          <w:lang w:val="da-DK"/>
        </w:rPr>
        <w:t xml:space="preserve">, som er risikoen ved de kursudsving, som puljens obligationsinvesteringer rammes af, når renteniveauet stiger og falder, og når øvrige markedsforhold og andre omstændigheder ændrer sig. </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p>
    <w:p w:rsidR="00303EF7" w:rsidRDefault="00303EF7" w:rsidP="00E223CF">
      <w:pPr>
        <w:pStyle w:val="Brdtekst"/>
        <w:spacing w:before="2" w:line="244" w:lineRule="auto"/>
        <w:ind w:right="46"/>
        <w:rPr>
          <w:rFonts w:asciiTheme="minorHAnsi" w:hAnsiTheme="minorHAnsi"/>
          <w:color w:val="808080" w:themeColor="background1" w:themeShade="80"/>
          <w:spacing w:val="-4"/>
          <w:lang w:val="da-DK"/>
        </w:rPr>
      </w:pPr>
      <w:r>
        <w:rPr>
          <w:rFonts w:asciiTheme="minorHAnsi" w:hAnsiTheme="minorHAnsi"/>
          <w:i/>
          <w:spacing w:val="-4"/>
          <w:lang w:val="da-DK"/>
        </w:rPr>
        <w:br w:type="column"/>
      </w:r>
      <w:r w:rsidR="00E223CF" w:rsidRPr="00E223CF">
        <w:rPr>
          <w:rFonts w:asciiTheme="minorHAnsi" w:hAnsiTheme="minorHAnsi"/>
          <w:i/>
          <w:spacing w:val="-4"/>
          <w:lang w:val="da-DK"/>
        </w:rPr>
        <w:t>Valutakursrisiko</w:t>
      </w:r>
      <w:r w:rsidR="00E223CF" w:rsidRPr="00E223CF">
        <w:rPr>
          <w:rFonts w:asciiTheme="minorHAnsi" w:hAnsiTheme="minorHAnsi"/>
          <w:color w:val="808080" w:themeColor="background1" w:themeShade="80"/>
          <w:spacing w:val="-4"/>
          <w:lang w:val="da-DK"/>
        </w:rPr>
        <w:t xml:space="preserve">, som er risikoen for udsving i valutakursen for investeringer som handles i en anden valuta. </w:t>
      </w:r>
    </w:p>
    <w:p w:rsidR="00303EF7" w:rsidRDefault="00303EF7" w:rsidP="00E223CF">
      <w:pPr>
        <w:pStyle w:val="Brdtekst"/>
        <w:spacing w:before="2" w:line="244" w:lineRule="auto"/>
        <w:ind w:right="46"/>
        <w:rPr>
          <w:rFonts w:asciiTheme="minorHAnsi" w:hAnsiTheme="minorHAnsi"/>
          <w:color w:val="808080" w:themeColor="background1" w:themeShade="80"/>
          <w:spacing w:val="-4"/>
          <w:lang w:val="da-DK"/>
        </w:rPr>
      </w:pP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De underliggende papirer puljen investerer i er pengeinstituttets ejendom, men afkastet fra papirerne tilskrives puljedeltagernes konti.</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 xml:space="preserve">Ved pengeinstituttets eventuelle konkurs </w:t>
      </w:r>
      <w:r>
        <w:rPr>
          <w:rFonts w:asciiTheme="minorHAnsi" w:hAnsiTheme="minorHAnsi"/>
          <w:color w:val="808080" w:themeColor="background1" w:themeShade="80"/>
          <w:spacing w:val="-4"/>
          <w:lang w:val="da-DK"/>
        </w:rPr>
        <w:t>v</w:t>
      </w:r>
      <w:r w:rsidRPr="00E223CF">
        <w:rPr>
          <w:rFonts w:asciiTheme="minorHAnsi" w:hAnsiTheme="minorHAnsi"/>
          <w:color w:val="808080" w:themeColor="background1" w:themeShade="80"/>
          <w:spacing w:val="-4"/>
          <w:lang w:val="da-DK"/>
        </w:rPr>
        <w:t>il pensionsmidler være dækket af Garantiformuen.</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Børneopsparingsmidler er ikke dækket af Garantiformuen.</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p>
    <w:p w:rsidR="00E223CF" w:rsidRPr="00E223CF" w:rsidRDefault="00E223CF" w:rsidP="00E223CF">
      <w:pPr>
        <w:pStyle w:val="Overskrift1"/>
        <w:ind w:left="0" w:right="46"/>
        <w:rPr>
          <w:rFonts w:asciiTheme="minorHAnsi" w:hAnsiTheme="minorHAnsi"/>
          <w:color w:val="000000" w:themeColor="text1"/>
          <w:lang w:val="da-DK"/>
        </w:rPr>
      </w:pPr>
      <w:r w:rsidRPr="00E223CF">
        <w:rPr>
          <w:rFonts w:asciiTheme="minorHAnsi" w:hAnsiTheme="minorHAnsi"/>
          <w:color w:val="000000" w:themeColor="text1"/>
          <w:lang w:val="da-DK"/>
        </w:rPr>
        <w:t>Skat</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Den skattemæssige behandling af afkast fra puljeinvestering er forskellig, alt efter hvilken type midler du anvender til investering. Såfremt der er tale om pensionsmidler beskattes afkast med den til enhver tid gældende sats for pensionsafkast (PAL-skat). Såfremt der er tale om puljeinvestering for børneopsparinger, beskattes afkastet ikke.</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Afkastet indberettes automatisk til SKAT. Og ved positivt afkast afregnes skatten direkte fra kundens tilmeldte puljekonto.</w:t>
      </w:r>
    </w:p>
    <w:p w:rsidR="00E223CF"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p>
    <w:p w:rsidR="00E223CF" w:rsidRPr="00E223CF" w:rsidRDefault="00E223CF" w:rsidP="00E223CF">
      <w:pPr>
        <w:pStyle w:val="Overskrift1"/>
        <w:ind w:left="0" w:right="46"/>
        <w:rPr>
          <w:rFonts w:asciiTheme="minorHAnsi" w:hAnsiTheme="minorHAnsi"/>
          <w:color w:val="000000" w:themeColor="text1"/>
          <w:lang w:val="da-DK"/>
        </w:rPr>
      </w:pPr>
      <w:r w:rsidRPr="00E223CF">
        <w:rPr>
          <w:rFonts w:asciiTheme="minorHAnsi" w:hAnsiTheme="minorHAnsi"/>
          <w:color w:val="000000" w:themeColor="text1"/>
          <w:lang w:val="da-DK"/>
        </w:rPr>
        <w:t>Forskellige puljer</w:t>
      </w:r>
    </w:p>
    <w:p w:rsidR="004B28D5" w:rsidRPr="00E223CF" w:rsidRDefault="00E223CF" w:rsidP="00E223CF">
      <w:pPr>
        <w:pStyle w:val="Brdtekst"/>
        <w:spacing w:before="2" w:line="244" w:lineRule="auto"/>
        <w:ind w:right="46"/>
        <w:rPr>
          <w:rFonts w:asciiTheme="minorHAnsi" w:hAnsiTheme="minorHAnsi"/>
          <w:color w:val="808080" w:themeColor="background1" w:themeShade="80"/>
          <w:spacing w:val="-4"/>
          <w:lang w:val="da-DK"/>
        </w:rPr>
      </w:pPr>
      <w:r w:rsidRPr="00E223CF">
        <w:rPr>
          <w:rFonts w:asciiTheme="minorHAnsi" w:hAnsiTheme="minorHAnsi"/>
          <w:color w:val="808080" w:themeColor="background1" w:themeShade="80"/>
          <w:spacing w:val="-4"/>
          <w:lang w:val="da-DK"/>
        </w:rPr>
        <w:t>Du kan finde en beskrivelse af de puljer, vi udbyder samt omkostninger forbundet med at investere via vores puljer på vores hjemmeside eller ved at kontakte os.</w:t>
      </w: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rsidR="003A2BD3" w:rsidRDefault="003A2BD3" w:rsidP="004B28D5">
      <w:pPr>
        <w:spacing w:after="0" w:line="240" w:lineRule="auto"/>
        <w:rPr>
          <w:color w:val="808080" w:themeColor="background1" w:themeShade="80"/>
        </w:rPr>
      </w:pPr>
    </w:p>
    <w:p w:rsidR="00303EF7" w:rsidRPr="00971A87" w:rsidRDefault="00303EF7" w:rsidP="004B28D5">
      <w:pPr>
        <w:spacing w:after="0" w:line="240" w:lineRule="auto"/>
        <w:rPr>
          <w:color w:val="808080" w:themeColor="background1" w:themeShade="80"/>
        </w:rPr>
      </w:pPr>
      <w:bookmarkStart w:id="0" w:name="_GoBack"/>
      <w:bookmarkEnd w:id="0"/>
    </w:p>
    <w:sectPr w:rsidR="00303EF7"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FormSans-Book">
    <w:altName w:val="Times New Roman"/>
    <w:charset w:val="00"/>
    <w:family w:val="auto"/>
    <w:pitch w:val="variable"/>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B9233B7"/>
    <w:multiLevelType w:val="hybridMultilevel"/>
    <w:tmpl w:val="E4529E38"/>
    <w:lvl w:ilvl="0" w:tplc="7200D182">
      <w:numFmt w:val="bullet"/>
      <w:lvlText w:val="-"/>
      <w:lvlJc w:val="left"/>
      <w:pPr>
        <w:ind w:left="831" w:hanging="360"/>
      </w:pPr>
      <w:rPr>
        <w:rFonts w:ascii="FoundryFormSans-Book" w:eastAsia="FoundryFormSans-Book" w:hAnsi="FoundryFormSans-Book" w:cs="FoundryFormSans-Book" w:hint="default"/>
      </w:rPr>
    </w:lvl>
    <w:lvl w:ilvl="1" w:tplc="04060003" w:tentative="1">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E"/>
    <w:rsid w:val="000135D5"/>
    <w:rsid w:val="000971DC"/>
    <w:rsid w:val="00160C2F"/>
    <w:rsid w:val="002F56B4"/>
    <w:rsid w:val="00303EF7"/>
    <w:rsid w:val="0032049E"/>
    <w:rsid w:val="003A2BD3"/>
    <w:rsid w:val="003D779E"/>
    <w:rsid w:val="00411B5A"/>
    <w:rsid w:val="004B28D5"/>
    <w:rsid w:val="005068BB"/>
    <w:rsid w:val="005B54B8"/>
    <w:rsid w:val="00971A87"/>
    <w:rsid w:val="00E15B1E"/>
    <w:rsid w:val="00E223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84821-D0B7-4848-8AE6-7E2BD61C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5042A23</Template>
  <TotalTime>16</TotalTime>
  <Pages>1</Pages>
  <Words>573</Words>
  <Characters>3500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Claus Holm</cp:lastModifiedBy>
  <cp:revision>5</cp:revision>
  <dcterms:created xsi:type="dcterms:W3CDTF">2017-11-19T20:56:00Z</dcterms:created>
  <dcterms:modified xsi:type="dcterms:W3CDTF">2017-12-17T10:27:00Z</dcterms:modified>
</cp:coreProperties>
</file>